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04" w:rsidRDefault="00A93E04" w:rsidP="00A93E04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OTITIS MEDIA</w:t>
      </w:r>
    </w:p>
    <w:p w:rsidR="00A93E04" w:rsidRDefault="00A93E04" w:rsidP="00A93E04">
      <w:pPr>
        <w:spacing w:after="0" w:line="240" w:lineRule="auto"/>
        <w:rPr>
          <w:rFonts w:ascii="Formata-Regular" w:eastAsia="Formata-Regular" w:hAnsi="Formata-Regular" w:cs="Formata-Regular"/>
          <w:color w:val="FFFFFF"/>
          <w:sz w:val="24"/>
        </w:rPr>
      </w:pPr>
      <w:r>
        <w:rPr>
          <w:rFonts w:ascii="Formata-Regular" w:eastAsia="Formata-Regular" w:hAnsi="Formata-Regular" w:cs="Formata-Regular"/>
          <w:color w:val="FFFFFF"/>
          <w:sz w:val="24"/>
        </w:rPr>
        <w:t>CASE SUMMARY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r>
        <w:rPr>
          <w:rFonts w:ascii="Minion-Regular" w:eastAsia="Minion-Regular" w:hAnsi="Minion-Regular" w:cs="Minion-Regular"/>
          <w:color w:val="000000"/>
          <w:sz w:val="18"/>
        </w:rPr>
        <w:t xml:space="preserve">Seth, a 16-month-old boy with a diagnosis of acute </w:t>
      </w:r>
      <w:proofErr w:type="spellStart"/>
      <w:r>
        <w:rPr>
          <w:rFonts w:ascii="Minion-Regular" w:eastAsia="Minion-Regular" w:hAnsi="Minion-Regular" w:cs="Minion-Regular"/>
          <w:color w:val="000000"/>
          <w:sz w:val="18"/>
        </w:rPr>
        <w:t>otitis</w:t>
      </w:r>
      <w:proofErr w:type="spellEnd"/>
      <w:r>
        <w:rPr>
          <w:rFonts w:ascii="Minion-Regular" w:eastAsia="Minion-Regular" w:hAnsi="Minion-Regular" w:cs="Minion-Regular"/>
          <w:color w:val="000000"/>
          <w:sz w:val="18"/>
        </w:rPr>
        <w:t xml:space="preserve"> media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r>
        <w:rPr>
          <w:rFonts w:ascii="Minion-Regular" w:eastAsia="Minion-Regular" w:hAnsi="Minion-Regular" w:cs="Minion-Regular"/>
          <w:color w:val="000000"/>
          <w:sz w:val="18"/>
        </w:rPr>
        <w:t>(AOM), is brought to his pediatrician because of ear pain, decreased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appetite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>, decreased playfulness, and difficulty sleeping. He has had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three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episodes of AOM previously, the most recent episode having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occurred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2 weeks ago and treated with high-dose amoxicillin. He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was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diagnosed with </w:t>
      </w:r>
      <w:proofErr w:type="spellStart"/>
      <w:r>
        <w:rPr>
          <w:rFonts w:ascii="Minion-Regular" w:eastAsia="Minion-Regular" w:hAnsi="Minion-Regular" w:cs="Minion-Regular"/>
          <w:color w:val="000000"/>
          <w:sz w:val="18"/>
        </w:rPr>
        <w:t>bronchiolitis</w:t>
      </w:r>
      <w:proofErr w:type="spellEnd"/>
      <w:r>
        <w:rPr>
          <w:rFonts w:ascii="Minion-Regular" w:eastAsia="Minion-Regular" w:hAnsi="Minion-Regular" w:cs="Minion-Regular"/>
          <w:color w:val="000000"/>
          <w:sz w:val="18"/>
        </w:rPr>
        <w:t xml:space="preserve"> approximately 1 month ago and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treated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with symptomatic care with ibuprofen, fluids, and rest. His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mother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reports Seth having a 1-day history of tugging at his right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ear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and crying, and a 2-day history of decreased appetite, decreased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playfulness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>, and difficulty sleeping. His temperatures at home have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all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been elevated (39.5°C), and he has been given ibuprofen 100 mg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 xml:space="preserve">Q 12 h </w:t>
      </w:r>
      <w:r>
        <w:rPr>
          <w:rFonts w:ascii="SymbolStd" w:eastAsia="SymbolStd" w:hAnsi="SymbolStd" w:cs="SymbolStd"/>
          <w:color w:val="000000"/>
          <w:sz w:val="18"/>
        </w:rPr>
        <w:t xml:space="preserve">× </w:t>
      </w:r>
      <w:r>
        <w:rPr>
          <w:rFonts w:ascii="Minion-Regular" w:eastAsia="Minion-Regular" w:hAnsi="Minion-Regular" w:cs="Minion-Regular"/>
          <w:color w:val="000000"/>
          <w:sz w:val="18"/>
        </w:rPr>
        <w:t>2 doses.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On physical examination, both right and left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tympanic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membranes (TMs) are </w:t>
      </w:r>
      <w:proofErr w:type="spellStart"/>
      <w:r>
        <w:rPr>
          <w:rFonts w:ascii="Minion-Regular" w:eastAsia="Minion-Regular" w:hAnsi="Minion-Regular" w:cs="Minion-Regular"/>
          <w:color w:val="000000"/>
          <w:sz w:val="18"/>
        </w:rPr>
        <w:t>erythematous</w:t>
      </w:r>
      <w:proofErr w:type="spellEnd"/>
      <w:r>
        <w:rPr>
          <w:rFonts w:ascii="Minion-Regular" w:eastAsia="Minion-Regular" w:hAnsi="Minion-Regular" w:cs="Minion-Regular"/>
          <w:color w:val="000000"/>
          <w:sz w:val="18"/>
        </w:rPr>
        <w:t>. Left ear appears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otherwise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normal with normal landmarks visible. The right ear TM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is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bulging with limited mobility; copious </w:t>
      </w:r>
      <w:proofErr w:type="spellStart"/>
      <w:r>
        <w:rPr>
          <w:rFonts w:ascii="Minion-Regular" w:eastAsia="Minion-Regular" w:hAnsi="Minion-Regular" w:cs="Minion-Regular"/>
          <w:color w:val="000000"/>
          <w:sz w:val="18"/>
        </w:rPr>
        <w:t>cerumen</w:t>
      </w:r>
      <w:proofErr w:type="spellEnd"/>
      <w:r>
        <w:rPr>
          <w:rFonts w:ascii="Minion-Regular" w:eastAsia="Minion-Regular" w:hAnsi="Minion-Regular" w:cs="Minion-Regular"/>
          <w:color w:val="000000"/>
          <w:sz w:val="18"/>
        </w:rPr>
        <w:t xml:space="preserve"> and purulent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fluid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behind TM. The right ear landmarks are difficult to visualize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and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view of the </w:t>
      </w:r>
      <w:proofErr w:type="spellStart"/>
      <w:r>
        <w:rPr>
          <w:rFonts w:ascii="Minion-Regular" w:eastAsia="Minion-Regular" w:hAnsi="Minion-Regular" w:cs="Minion-Regular"/>
          <w:color w:val="000000"/>
          <w:sz w:val="18"/>
        </w:rPr>
        <w:t>umbo</w:t>
      </w:r>
      <w:proofErr w:type="spellEnd"/>
      <w:r>
        <w:rPr>
          <w:rFonts w:ascii="Minion-Regular" w:eastAsia="Minion-Regular" w:hAnsi="Minion-Regular" w:cs="Minion-Regular"/>
          <w:color w:val="000000"/>
          <w:sz w:val="18"/>
        </w:rPr>
        <w:t xml:space="preserve"> is obstructed. In this patient, the diagnosis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of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AOM is certain based on the acute onset of symptoms, signs of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middle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ear effusion (MEE), and signs and symptoms of middle ear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inflammation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>, and is likely a treatment failure from the previous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episode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>. This patient is a candidate for antibacterial therapy based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on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his age and severe illness (temperature above 39°C). Empiric antibiotic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selection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should be based on the likely causative organisms,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antibiotic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efficacy against resistant organisms, and patient factors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such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as prior antibiotic tolerance and likely patient adherence to the</w:t>
      </w:r>
    </w:p>
    <w:p w:rsidR="00A93E04" w:rsidRDefault="00A93E04" w:rsidP="00A93E04">
      <w:pPr>
        <w:spacing w:after="0" w:line="240" w:lineRule="auto"/>
        <w:rPr>
          <w:rFonts w:ascii="Minion-Regular" w:eastAsia="Minion-Regular" w:hAnsi="Minion-Regular" w:cs="Minion-Regular"/>
          <w:color w:val="000000"/>
          <w:sz w:val="18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complete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regimen. Additionally, antibiotic selection must take into</w:t>
      </w:r>
    </w:p>
    <w:p w:rsidR="00A93E04" w:rsidRPr="00A93E04" w:rsidRDefault="00A93E04">
      <w:pPr>
        <w:rPr>
          <w:rFonts w:ascii="Calibri" w:eastAsia="Calibri" w:hAnsi="Calibri" w:cs="Calibri"/>
        </w:rPr>
      </w:pPr>
      <w:proofErr w:type="gramStart"/>
      <w:r>
        <w:rPr>
          <w:rFonts w:ascii="Minion-Regular" w:eastAsia="Minion-Regular" w:hAnsi="Minion-Regular" w:cs="Minion-Regular"/>
          <w:color w:val="000000"/>
          <w:sz w:val="18"/>
        </w:rPr>
        <w:t>account</w:t>
      </w:r>
      <w:proofErr w:type="gramEnd"/>
      <w:r>
        <w:rPr>
          <w:rFonts w:ascii="Minion-Regular" w:eastAsia="Minion-Regular" w:hAnsi="Minion-Regular" w:cs="Minion-Regular"/>
          <w:color w:val="000000"/>
          <w:sz w:val="18"/>
        </w:rPr>
        <w:t xml:space="preserve"> the previous treatment for a similar diagnosis 2 weeks ago.</w:t>
      </w:r>
    </w:p>
    <w:tbl>
      <w:tblPr>
        <w:tblStyle w:val="LightShading-Accent4"/>
        <w:tblpPr w:leftFromText="180" w:rightFromText="180" w:vertAnchor="text" w:horzAnchor="margin" w:tblpY="436"/>
        <w:tblW w:w="0" w:type="auto"/>
        <w:tblLook w:val="04A0"/>
      </w:tblPr>
      <w:tblGrid>
        <w:gridCol w:w="9354"/>
      </w:tblGrid>
      <w:tr w:rsidR="00A93E04" w:rsidRPr="006C13F6" w:rsidTr="00533487">
        <w:trPr>
          <w:cnfStyle w:val="100000000000"/>
        </w:trPr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5334 CASE SUMMARY TABLE  </w:t>
            </w:r>
          </w:p>
        </w:tc>
      </w:tr>
      <w:tr w:rsidR="00A93E04" w:rsidRPr="006C13F6" w:rsidTr="00533487">
        <w:trPr>
          <w:cnfStyle w:val="000000100000"/>
        </w:trPr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Symptoms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;  List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two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pertinent signs and symptoms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Answer here  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rPr>
          <w:cnfStyle w:val="000000100000"/>
        </w:trPr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Recommended  Drugs: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List recommended drugs  as indicated for this diagnosis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93E04" w:rsidRPr="006C13F6" w:rsidTr="00533487"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Answer here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rPr>
          <w:cnfStyle w:val="000000100000"/>
        </w:trPr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Drug Categories and Subcategories: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Identify the category of each recommended drug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Answer here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rPr>
          <w:cnfStyle w:val="000000100000"/>
        </w:trPr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Provide rationale, clinical guidelines, or evidence for the selected drug of choice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Answer here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rPr>
          <w:cnfStyle w:val="000000100000"/>
        </w:trPr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Contraindications and or Risks, as appropriate: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Identify contraindications and risks as appropriate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4" w:rsidRPr="006C13F6" w:rsidTr="00533487"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Answer here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93E04" w:rsidRPr="006C13F6" w:rsidTr="00533487">
        <w:trPr>
          <w:cnfStyle w:val="000000100000"/>
        </w:trPr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What Patients Must Understand:  Identify at least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three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appropriate teaching points for the patient 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and/or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family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93E04" w:rsidRPr="006C13F6" w:rsidTr="00533487">
        <w:tc>
          <w:tcPr>
            <w:cnfStyle w:val="001000000000"/>
            <w:tcW w:w="9354" w:type="dxa"/>
          </w:tcPr>
          <w:p w:rsidR="00A93E04" w:rsidRPr="006C13F6" w:rsidRDefault="00A93E04" w:rsidP="0053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Answer here</w:t>
            </w:r>
          </w:p>
          <w:p w:rsidR="00A93E04" w:rsidRPr="006C13F6" w:rsidRDefault="00A93E04" w:rsidP="005334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93E04" w:rsidRDefault="00A93E04"/>
    <w:sectPr w:rsidR="00A93E04" w:rsidSect="0086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St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67B7"/>
    <w:multiLevelType w:val="hybridMultilevel"/>
    <w:tmpl w:val="4992B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3E04"/>
    <w:rsid w:val="00090434"/>
    <w:rsid w:val="00860362"/>
    <w:rsid w:val="009E3FA9"/>
    <w:rsid w:val="00A9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04"/>
    <w:pPr>
      <w:spacing w:line="276" w:lineRule="auto"/>
      <w:ind w:firstLine="0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E0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A93E04"/>
    <w:pPr>
      <w:spacing w:after="0" w:line="240" w:lineRule="auto"/>
      <w:ind w:firstLine="0"/>
    </w:pPr>
    <w:rPr>
      <w:rFonts w:ascii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2016-08-15T22:54:00Z</dcterms:created>
  <dcterms:modified xsi:type="dcterms:W3CDTF">2016-08-15T22:57:00Z</dcterms:modified>
</cp:coreProperties>
</file>